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spacing w:before="180" w:beforeAutospacing="0" w:after="360" w:afterAutospacing="0" w:line="450" w:lineRule="atLeast"/>
        <w:ind w:left="5679" w:leftChars="123" w:right="0" w:hanging="5421" w:hangingChars="1500"/>
        <w:jc w:val="both"/>
        <w:rPr>
          <w:rStyle w:val="18"/>
          <w:rFonts w:hint="eastAsia" w:ascii="黑体" w:hAnsi="黑体" w:eastAsia="黑体" w:cs="黑体"/>
          <w:sz w:val="36"/>
          <w:szCs w:val="36"/>
          <w:lang w:val="en-US" w:eastAsia="zh-CN"/>
        </w:rPr>
      </w:pPr>
      <w:r>
        <w:rPr>
          <w:rStyle w:val="18"/>
          <w:rFonts w:hint="eastAsia" w:ascii="黑体" w:hAnsi="黑体" w:eastAsia="黑体" w:cs="黑体"/>
          <w:sz w:val="36"/>
          <w:szCs w:val="36"/>
          <w:lang w:val="en-US" w:eastAsia="zh-CN"/>
        </w:rPr>
        <w:t>2018年度绥滨县市场监督管理局决算文字说明</w:t>
      </w:r>
    </w:p>
    <w:p>
      <w:pPr>
        <w:pStyle w:val="3"/>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rPr>
      </w:pPr>
    </w:p>
    <w:p>
      <w:pPr>
        <w:pStyle w:val="3"/>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第一部分 部门概况</w:t>
      </w:r>
    </w:p>
    <w:p>
      <w:pPr>
        <w:pStyle w:val="3"/>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3"/>
        <w:keepNext w:val="0"/>
        <w:keepLines w:val="0"/>
        <w:widowControl/>
        <w:suppressLineNumbers w:val="0"/>
        <w:spacing w:before="180" w:beforeAutospacing="0" w:after="360" w:afterAutospacing="0" w:line="450" w:lineRule="atLeast"/>
        <w:ind w:left="0" w:right="0" w:firstLine="560"/>
        <w:jc w:val="left"/>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一、主要职能</w:t>
      </w:r>
    </w:p>
    <w:p>
      <w:pPr>
        <w:pStyle w:val="3"/>
        <w:keepNext w:val="0"/>
        <w:keepLines w:val="0"/>
        <w:widowControl/>
        <w:suppressLineNumbers w:val="0"/>
        <w:spacing w:before="180" w:beforeAutospacing="0" w:after="360" w:afterAutospacing="0" w:line="450" w:lineRule="atLeast"/>
        <w:ind w:left="0" w:right="0" w:firstLine="560"/>
        <w:jc w:val="left"/>
        <w:rPr>
          <w:rFonts w:hint="eastAsia" w:asciiTheme="minorEastAsia" w:hAnsiTheme="minorEastAsia" w:eastAsiaTheme="minorEastAsia" w:cstheme="minorEastAsia"/>
          <w:sz w:val="28"/>
          <w:szCs w:val="28"/>
        </w:rPr>
      </w:pPr>
      <w:r>
        <w:rPr>
          <w:rFonts w:hint="eastAsia" w:ascii="仿宋_GB2312" w:eastAsia="仿宋_GB2312" w:hAnsiTheme="minorHAnsi" w:cstheme="minorBidi"/>
          <w:kern w:val="2"/>
          <w:sz w:val="28"/>
          <w:szCs w:val="28"/>
          <w:lang w:val="en-US" w:eastAsia="zh-CN" w:bidi="ar-SA"/>
        </w:rPr>
        <w:t> </w:t>
      </w:r>
      <w:r>
        <w:rPr>
          <w:rFonts w:hint="eastAsia" w:asciiTheme="minorEastAsia" w:hAnsiTheme="minorEastAsia" w:eastAsiaTheme="minorEastAsia" w:cstheme="minorEastAsia"/>
          <w:kern w:val="2"/>
          <w:sz w:val="28"/>
          <w:szCs w:val="28"/>
          <w:lang w:val="en-US" w:eastAsia="zh-CN" w:bidi="ar-SA"/>
        </w:rPr>
        <w:t>（一）贯彻执行国家、省、市有关工商行政管理、质量技术监督、食品药品监督管理等方面的法律法规、规章政策和标准规范；依法开展市场监督管理和行政执法的有关工作。</w:t>
      </w:r>
    </w:p>
    <w:p>
      <w:pPr>
        <w:spacing w:beforeAutospacing="0" w:line="46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（二）制定并组织实施市场监督管理事业发展规划和技术机构建设规划；参与制定商品交易市场发展规划；负责辖区内市场监督管理信息化建设工作。</w:t>
      </w:r>
    </w:p>
    <w:p>
      <w:pPr>
        <w:spacing w:line="460" w:lineRule="exact"/>
        <w:ind w:firstLine="560" w:firstLineChars="200"/>
        <w:rPr>
          <w:rFonts w:hint="eastAsia"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color w:val="000000"/>
          <w:sz w:val="28"/>
          <w:szCs w:val="28"/>
        </w:rPr>
        <w:t>（三）组织拟订并协调推进食品安全规划；依法承担食品安全综合协调工作；推动食品安全应急体系和隐患排查治理机制建设，按规定负责食品安全事故和突发事件的应对处置；依法统一发布重大食品安全信息；依法承担生产加工、流通及消费环节的食品安全监督管理职责；依法查处食品违法行为，监督实施问题食品召回和处置制度。</w:t>
      </w:r>
    </w:p>
    <w:p>
      <w:pPr>
        <w:spacing w:line="460" w:lineRule="exact"/>
        <w:ind w:firstLine="560" w:firstLineChars="2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sz w:val="28"/>
          <w:szCs w:val="28"/>
        </w:rPr>
        <w:t>（四）负责药品、医疗器械、保健食品、化妆品行政监督和技术监督，监督实施药品和医疗器械研制、生产、流通、使用方面的质量管理规范；监督实施国家药品、医疗器械标志，负责药品、医疗器械及药用包装材料、医疗机构制剂的监督管理；组织开展药品不良反应和医疗器械不良事件检测；依法查处药品、医疗器械、化妆品、保健食品等的研制、生产、流通、使用方面的违法、违规行为；</w:t>
      </w:r>
      <w:r>
        <w:rPr>
          <w:rFonts w:hint="eastAsia" w:asciiTheme="minorEastAsia" w:hAnsiTheme="minorEastAsia" w:eastAsiaTheme="minorEastAsia" w:cstheme="minorEastAsia"/>
          <w:color w:val="000000"/>
          <w:sz w:val="28"/>
          <w:szCs w:val="28"/>
        </w:rPr>
        <w:t>组织实施处方药和非处方药分类管理制度；建立健全药品安全应急体系；配合有关部门实施国家基本药物制度；组织重大药品安全事故应急处置和调查处理工作；负责相关从业人员业务培训工作；组织开展农村药品监督网和供应网建设。</w:t>
      </w:r>
    </w:p>
    <w:p>
      <w:pPr>
        <w:spacing w:line="46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（五）依法承担对市场经济秩序的监管责任；负责市场交易和网络商品交易及有关服务行为监管职责，承担</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"http://www.315club.net/forum.php?mod=viewthread&amp;tid=47" \t "_blank"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垄断协议</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、滥用市场</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"http://www.315club.net/forum.php?mod=viewthread&amp;tid=48" \t "_blank"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支配地位</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、滥用行政权力排除限制竞争等反垄断执法（</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"http://www.315club.net/forum.php?mod=viewthread&amp;tid=46" \t "_blank"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价格垄断</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行为除外）有关工作，依法查处不正当竞争、</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"http://www.315club.net/forum.php?mod=viewthread&amp;tid=937" \t "_blank"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商业贿赂</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、走私贩私等经济违法行为，维护公平竞争的市场经营秩序；负责组织建设</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"http://www.tmall.com/go/chn/tbk_channel/tmall_new.php?pid=mm_10771977_2388932_9691259&amp;eventid=101334" \t "_blank"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电子商务</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信用体系、监管体系；依法负责</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"http://www.315club.net/forum.php?mod=viewthread&amp;tid=852" \t "_blank"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个体工商户</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、私营企业经营行为的监督管理；组织开展企业信用体系建设，推进政府企业信用、行业信用建设，实施信用分类管理；依法监督管理经纪人、经纪机构及经纪活动，依法监督管理</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"http://www.315club.net/forum.php?mod=viewthread&amp;tid=798" \t "_blank"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直销</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企业和直销人员及其直销活动，牵头查处</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"http://www.315club.net/forum.php?mod=viewthread&amp;tid=799" \t "_blank"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传销</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违法行为。</w:t>
      </w:r>
    </w:p>
    <w:p>
      <w:pPr>
        <w:spacing w:line="46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六）依法对商标使用进行监督管理；组织查处商标侵权行为，保护商标专用权；开展黑龙江省著名商标、鹤岗市知名商标审核申报和保护工作；依法保护驰名商标、地理标志商标、特殊标志和官方标志。指导广告业发展，负责广告活动的监督管理工作，查处广告违法行为。</w:t>
      </w:r>
    </w:p>
    <w:p>
      <w:pPr>
        <w:spacing w:line="46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（七）负责各类企业、农民专业合作社和从事经营活动的单位、个人、外国（地区）企业常驻代表机构等市场主体的登记注册、监督管理，承担依法查处取缔无证</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"http://www.315club.net/forum.php?mod=viewthread&amp;tid=903" \t "_blank"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无照经营</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行为的责任。</w:t>
      </w:r>
    </w:p>
    <w:p>
      <w:pPr>
        <w:spacing w:line="46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（八）承担辖区</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"http://www.315club.net/forum.php?mod=viewthread&amp;tid=2198" \t "_blank"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消费者权益保护</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工作；建立消费者权益保护体系；处理消费者申诉举报，查处侵害消费者合法权益的违法行为。</w:t>
      </w:r>
    </w:p>
    <w:p>
      <w:pPr>
        <w:spacing w:line="46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（九）依法实施合同行政监督管理，负责动产抵押物登记，组织实施消费类格式合同备案，监督管理拍卖行为，负责依法查处合同欺诈等违法行为。</w:t>
      </w:r>
    </w:p>
    <w:p>
      <w:pPr>
        <w:spacing w:line="46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（十）承办产品质量诚信体系建设有关工作，组织实施质量振兴工作；推进名牌发展战略；组织有关产品质量事故的调查处理，实施缺陷产品召回制度；监督管理产品防伪工作；组织实施地理标志产品保护工作。</w:t>
      </w:r>
    </w:p>
    <w:p>
      <w:pPr>
        <w:spacing w:line="46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（十一）负责管理计量工作；推行法定计量单位，执行国家计量制度；依法管理计量器具，组织量值传递和比对工作，规范和监督商品量、市场计量行为和计量仲裁检定。</w:t>
      </w:r>
    </w:p>
    <w:p>
      <w:pPr>
        <w:spacing w:line="46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十二）负责产品质量安全监督和认证认可工作。管理产品质量安全强制检验、风险监控和监督抽查等工作；负责工业产品生产许可证管理工作；监督管理产品质量安全仲裁检验；依法对质量检验机构及相关社会中介组织进行监督管理，对质量认证产品进行监督检查；依法查处产品质量违法行为。</w:t>
      </w:r>
    </w:p>
    <w:p>
      <w:pPr>
        <w:spacing w:line="46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（十三）负责管理标准化工作；组织实施标准并监督检查；推行采用国际标准和国外先进标准；管理企业产品标准备案工作；监督管理组织机构代码和商品条码工作。</w:t>
      </w:r>
    </w:p>
    <w:p>
      <w:pPr>
        <w:spacing w:line="46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十四）承担全县特种设备安全监察责任；依法监督管理特种设备注册登记，监督检查高耗能特种设备节能标准的执行情况；组织特种设备作业安全管理人员资格考核工作；按规定报告特种设备事故，配合特种设备事故的调查处理。</w:t>
      </w:r>
    </w:p>
    <w:p>
      <w:pPr>
        <w:spacing w:line="46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（十五）组织实施中药、民族药监督管理规范和质量标准，监督实施中药材生产质量管理规范、中药饮片炮制规范，组织实施中药品种保护制度；负责麻醉药品、精神药品以及药品类易制毒化学品的监督管理。</w:t>
      </w:r>
    </w:p>
    <w:p>
      <w:pPr>
        <w:spacing w:line="46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（十六）承担县食品安全委员会具体工作。</w:t>
      </w:r>
    </w:p>
    <w:p>
      <w:pPr>
        <w:pStyle w:val="3"/>
        <w:keepNext w:val="0"/>
        <w:keepLines w:val="0"/>
        <w:widowControl/>
        <w:suppressLineNumbers w:val="0"/>
        <w:shd w:val="clear" w:fill="FFFFFF"/>
        <w:spacing w:before="180" w:beforeAutospacing="0" w:after="360" w:afterAutospacing="0" w:line="360" w:lineRule="atLeast"/>
        <w:ind w:left="0" w:right="0" w:firstLine="640"/>
        <w:jc w:val="left"/>
        <w:rPr>
          <w:rFonts w:hint="eastAsia" w:asciiTheme="minorEastAsia" w:hAnsiTheme="minorEastAsia" w:eastAsiaTheme="minorEastAsia" w:cstheme="minorEastAsia"/>
          <w:color w:val="333333"/>
          <w:sz w:val="28"/>
          <w:szCs w:val="28"/>
          <w:shd w:val="clear" w:fill="FFFFFF"/>
        </w:rPr>
      </w:pPr>
      <w:r>
        <w:rPr>
          <w:rFonts w:hint="eastAsia" w:asciiTheme="minorEastAsia" w:hAnsiTheme="minorEastAsia" w:eastAsiaTheme="minorEastAsia" w:cstheme="minorEastAsia"/>
          <w:sz w:val="28"/>
          <w:szCs w:val="28"/>
        </w:rPr>
        <w:t>（十七）承担县委、县政府和上级部门交办的其他事项。</w:t>
      </w:r>
      <w:r>
        <w:rPr>
          <w:rFonts w:hint="eastAsia" w:asciiTheme="minorEastAsia" w:hAnsiTheme="minorEastAsia" w:eastAsiaTheme="minorEastAsia" w:cstheme="minorEastAsia"/>
          <w:color w:val="333333"/>
          <w:sz w:val="28"/>
          <w:szCs w:val="28"/>
          <w:shd w:val="clear" w:fill="FFFFFF"/>
        </w:rPr>
        <w:t>  </w:t>
      </w:r>
    </w:p>
    <w:p>
      <w:pPr>
        <w:pStyle w:val="3"/>
        <w:keepNext w:val="0"/>
        <w:keepLines w:val="0"/>
        <w:widowControl/>
        <w:suppressLineNumbers w:val="0"/>
        <w:shd w:val="clear" w:fill="FFFFFF"/>
        <w:spacing w:before="180" w:beforeAutospacing="0" w:after="360" w:afterAutospacing="0" w:line="360" w:lineRule="atLeast"/>
        <w:ind w:left="0" w:right="0" w:firstLine="64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二、机构设置及部门决算单位构成</w:t>
      </w:r>
    </w:p>
    <w:p>
      <w:pPr>
        <w:pStyle w:val="3"/>
        <w:keepNext w:val="0"/>
        <w:keepLines w:val="0"/>
        <w:widowControl/>
        <w:suppressLineNumbers w:val="0"/>
        <w:spacing w:before="180" w:beforeAutospacing="0" w:after="360" w:afterAutospacing="0" w:line="450" w:lineRule="atLeast"/>
        <w:ind w:right="0" w:firstLine="1120" w:firstLineChars="4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为全额行政单位，内设</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25</w:t>
      </w:r>
      <w:r>
        <w:rPr>
          <w:rFonts w:hint="eastAsia" w:asciiTheme="minorEastAsia" w:hAnsiTheme="minorEastAsia" w:eastAsiaTheme="minorEastAsia" w:cstheme="minorEastAsia"/>
          <w:color w:val="333333"/>
          <w:sz w:val="28"/>
          <w:szCs w:val="28"/>
        </w:rPr>
        <w:t>个内设机构，为一级预算单位。</w:t>
      </w:r>
    </w:p>
    <w:p>
      <w:pPr>
        <w:pStyle w:val="3"/>
        <w:keepNext w:val="0"/>
        <w:keepLines w:val="0"/>
        <w:widowControl/>
        <w:suppressLineNumbers w:val="0"/>
        <w:spacing w:before="180" w:beforeAutospacing="0" w:after="360" w:afterAutospacing="0" w:line="450" w:lineRule="atLeast"/>
        <w:ind w:right="0"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三、人员构成</w:t>
      </w:r>
    </w:p>
    <w:p>
      <w:pPr>
        <w:pStyle w:val="3"/>
        <w:keepNext w:val="0"/>
        <w:keepLines w:val="0"/>
        <w:widowControl/>
        <w:suppressLineNumbers w:val="0"/>
        <w:spacing w:before="180" w:beforeAutospacing="0" w:after="360" w:afterAutospacing="0" w:line="450" w:lineRule="atLeast"/>
        <w:ind w:left="458"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行政单位编制数</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1</w:t>
      </w:r>
      <w:r>
        <w:rPr>
          <w:rFonts w:hint="eastAsia" w:asciiTheme="minorEastAsia" w:hAnsiTheme="minorEastAsia" w:eastAsiaTheme="minorEastAsia" w:cstheme="minorEastAsia"/>
          <w:color w:val="333333"/>
          <w:sz w:val="28"/>
          <w:szCs w:val="28"/>
        </w:rPr>
        <w:t>个，其中行政编制</w:t>
      </w:r>
      <w:r>
        <w:rPr>
          <w:rFonts w:hint="eastAsia" w:asciiTheme="minorEastAsia" w:hAnsiTheme="minorEastAsia" w:cstheme="minorEastAsia"/>
          <w:color w:val="333333"/>
          <w:sz w:val="28"/>
          <w:szCs w:val="28"/>
          <w:lang w:val="en-US" w:eastAsia="zh-CN"/>
        </w:rPr>
        <w:t xml:space="preserve">104 </w:t>
      </w:r>
      <w:r>
        <w:rPr>
          <w:rFonts w:hint="eastAsia" w:asciiTheme="minorEastAsia" w:hAnsiTheme="minorEastAsia" w:eastAsiaTheme="minorEastAsia" w:cstheme="minorEastAsia"/>
          <w:color w:val="333333"/>
          <w:sz w:val="28"/>
          <w:szCs w:val="28"/>
        </w:rPr>
        <w:t>，在职</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97</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48</w:t>
      </w:r>
      <w:r>
        <w:rPr>
          <w:rFonts w:hint="eastAsia" w:asciiTheme="minorEastAsia" w:hAnsiTheme="minorEastAsia" w:eastAsiaTheme="minorEastAsia" w:cstheme="minorEastAsia"/>
          <w:color w:val="333333"/>
          <w:sz w:val="28"/>
          <w:szCs w:val="28"/>
        </w:rPr>
        <w:t>人，离休</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人；事业编制</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45</w:t>
      </w:r>
      <w:r>
        <w:rPr>
          <w:rFonts w:hint="eastAsia" w:asciiTheme="minorEastAsia" w:hAnsiTheme="minorEastAsia" w:eastAsiaTheme="minorEastAsia" w:cstheme="minorEastAsia"/>
          <w:color w:val="333333"/>
          <w:sz w:val="28"/>
          <w:szCs w:val="28"/>
        </w:rPr>
        <w:t>个，在职</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45</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人。</w:t>
      </w:r>
    </w:p>
    <w:p>
      <w:pPr>
        <w:pStyle w:val="3"/>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年度部门决算情况说明</w:t>
      </w:r>
    </w:p>
    <w:p>
      <w:pPr>
        <w:pStyle w:val="3"/>
        <w:keepNext w:val="0"/>
        <w:keepLines w:val="0"/>
        <w:widowControl/>
        <w:suppressLineNumbers w:val="0"/>
        <w:spacing w:before="180" w:beforeAutospacing="0" w:after="360" w:afterAutospacing="0" w:line="450" w:lineRule="atLeast"/>
        <w:ind w:left="260" w:right="0" w:firstLine="562" w:firstLineChars="200"/>
        <w:jc w:val="left"/>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一、201</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2289.27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2251.12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上年</w:t>
      </w:r>
      <w:r>
        <w:rPr>
          <w:rFonts w:hint="eastAsia" w:asciiTheme="minorEastAsia" w:hAnsiTheme="minorEastAsia" w:eastAsiaTheme="minorEastAsia" w:cstheme="minorEastAsia"/>
          <w:i w:val="0"/>
          <w:caps w:val="0"/>
          <w:color w:val="373737"/>
          <w:spacing w:val="0"/>
          <w:sz w:val="28"/>
          <w:szCs w:val="28"/>
          <w:shd w:val="clear" w:fill="FFFFFF"/>
          <w:vertAlign w:val="baseline"/>
        </w:rPr>
        <w:t>相比，收入总计增加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645.01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39 </w:t>
      </w:r>
      <w:r>
        <w:rPr>
          <w:rFonts w:hint="eastAsia" w:asciiTheme="minorEastAsia" w:hAnsiTheme="minorEastAsia" w:eastAsiaTheme="minorEastAsia" w:cstheme="minorEastAsia"/>
          <w:i w:val="0"/>
          <w:caps w:val="0"/>
          <w:color w:val="373737"/>
          <w:spacing w:val="0"/>
          <w:sz w:val="28"/>
          <w:szCs w:val="28"/>
          <w:shd w:val="clear" w:fill="FFFFFF"/>
          <w:vertAlign w:val="baseline"/>
        </w:rPr>
        <w:t>%；支出总计增加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530.38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31</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right="0" w:firstLine="843" w:firstLineChars="30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2289.27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2289.02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99 </w:t>
      </w:r>
      <w:r>
        <w:rPr>
          <w:rFonts w:hint="eastAsia" w:asciiTheme="minorEastAsia" w:hAnsiTheme="minorEastAsia" w:eastAsiaTheme="minorEastAsia" w:cstheme="minorEastAsia"/>
          <w:i w:val="0"/>
          <w:caps w:val="0"/>
          <w:color w:val="373737"/>
          <w:spacing w:val="0"/>
          <w:sz w:val="28"/>
          <w:szCs w:val="28"/>
          <w:shd w:val="clear" w:fill="FFFFFF"/>
          <w:vertAlign w:val="baseline"/>
        </w:rPr>
        <w:t>%；其他收入</w:t>
      </w:r>
      <w:r>
        <w:rPr>
          <w:rFonts w:hint="eastAsia" w:asciiTheme="minorEastAsia" w:hAnsiTheme="minorEastAsia" w:cstheme="minorEastAsia"/>
          <w:i w:val="0"/>
          <w:caps w:val="0"/>
          <w:color w:val="373737"/>
          <w:spacing w:val="0"/>
          <w:sz w:val="28"/>
          <w:szCs w:val="28"/>
          <w:shd w:val="clear" w:fill="FFFFFF"/>
          <w:vertAlign w:val="baseline"/>
          <w:lang w:val="en-US" w:eastAsia="zh-CN"/>
        </w:rPr>
        <w:t>0.25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w:t>
      </w:r>
      <w:r>
        <w:rPr>
          <w:rFonts w:hint="eastAsia" w:asciiTheme="minorEastAsia" w:hAnsiTheme="minorEastAsia" w:cstheme="minorEastAsia"/>
          <w:i w:val="0"/>
          <w:caps w:val="0"/>
          <w:color w:val="373737"/>
          <w:spacing w:val="0"/>
          <w:sz w:val="28"/>
          <w:szCs w:val="28"/>
          <w:shd w:val="clear" w:fill="FFFFFF"/>
          <w:vertAlign w:val="baseline"/>
          <w:lang w:eastAsia="zh-CN"/>
        </w:rPr>
        <w:t>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2251.12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1684.52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75 </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566.59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25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2289.02</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644.86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39 </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2247.10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532.69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31</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2247.10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99.8</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532.69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31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2247.10</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万元，主要用于以下方面：</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232.92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医疗卫生与计划生育（类）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376.33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16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农林水（类）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8.82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0.4</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79.39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bookmarkStart w:id="0" w:name="_GoBack"/>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1335.84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2251.12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168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%。决算数大于预算数的主要原因：一是201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年在职、离退休职工工资增长了和由于工资的增长相应的医疗保险、住房公积金、住房提租补贴相应的缴交比例也随之增加，所以决算数大于预算数；二是201</w:t>
      </w:r>
      <w:r>
        <w:rPr>
          <w:rFonts w:hint="eastAsia" w:asciiTheme="minorEastAsia" w:hAnsiTheme="minorEastAsia" w:cstheme="minorEastAsia"/>
          <w:i w:val="0"/>
          <w:caps w:val="0"/>
          <w:color w:val="373737"/>
          <w:spacing w:val="0"/>
          <w:sz w:val="28"/>
          <w:szCs w:val="28"/>
          <w:shd w:val="clear" w:fill="FFFFFF"/>
          <w:vertAlign w:val="baseline"/>
          <w:lang w:val="en-US" w:eastAsia="zh-CN"/>
        </w:rPr>
        <w:t>7</w:t>
      </w:r>
      <w:r>
        <w:rPr>
          <w:rFonts w:hint="eastAsia" w:asciiTheme="minorEastAsia" w:hAnsiTheme="minorEastAsia" w:eastAsiaTheme="minorEastAsia" w:cstheme="minorEastAsia"/>
          <w:i w:val="0"/>
          <w:caps w:val="0"/>
          <w:color w:val="373737"/>
          <w:spacing w:val="0"/>
          <w:sz w:val="28"/>
          <w:szCs w:val="28"/>
          <w:shd w:val="clear" w:fill="FFFFFF"/>
          <w:vertAlign w:val="baseline"/>
        </w:rPr>
        <w:t>年增加了行政管理事务等项目资金。其中：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1. 社会保障和就业（类）行政事业单位离退休（款）未归口管理的行政单位离退休（项）。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213.15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232.92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109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年离退休职工</w:t>
      </w:r>
      <w:r>
        <w:rPr>
          <w:rFonts w:hint="eastAsia" w:asciiTheme="minorEastAsia" w:hAnsiTheme="minorEastAsia" w:cstheme="minorEastAsia"/>
          <w:i w:val="0"/>
          <w:caps w:val="0"/>
          <w:color w:val="373737"/>
          <w:spacing w:val="0"/>
          <w:sz w:val="28"/>
          <w:szCs w:val="28"/>
          <w:shd w:val="clear" w:fill="FFFFFF"/>
          <w:vertAlign w:val="baseline"/>
          <w:lang w:eastAsia="zh-CN"/>
        </w:rPr>
        <w:t>人数增加</w:t>
      </w:r>
      <w:r>
        <w:rPr>
          <w:rFonts w:hint="eastAsia" w:asciiTheme="minorEastAsia" w:hAnsiTheme="minorEastAsia" w:eastAsiaTheme="minorEastAsia" w:cstheme="minorEastAsia"/>
          <w:i w:val="0"/>
          <w:caps w:val="0"/>
          <w:color w:val="373737"/>
          <w:spacing w:val="0"/>
          <w:sz w:val="28"/>
          <w:szCs w:val="28"/>
          <w:shd w:val="clear" w:fill="FFFFFF"/>
          <w:vertAlign w:val="baseline"/>
        </w:rPr>
        <w:t>工资增长了。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2. 医疗卫生和计划生育（类）医疗保障（款）行政单位医疗（项）。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61.69</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62.59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101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%。决算数大于预算数的主要原因在职职工增长了工资，使医疗保险的缴交比例增加了。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3. 农林水（类）农业（款）行政运行（项）。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8.82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年增加了行政管理事务等项目资金。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4. 住房保障（类）住房改革支出（款）住房公积金（项）。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79.06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79.39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100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年在职职工增长了工资，使住房公积金的缴交比例增加了。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315"/>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年度财政拨款基本支出</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1680.51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1559.98</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伙食补助费、其他工资福利支出、离休费、退休费、医疗费、奖励金、住房公积金、提租补贴、采暖补贴、其他对个人和家庭的补助支出；公用经费</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120.53</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万元，主要包括：办公费、印刷费、水费、电费、邮电费、取暖费、物业费、差旅费、维修（护）费、专用材料费、劳务费、工会经费、福利费、其他交通费用、办公设备购置。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0.8</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0 </w:t>
      </w:r>
      <w:r>
        <w:rPr>
          <w:rFonts w:hint="eastAsia" w:asciiTheme="minorEastAsia" w:hAnsiTheme="minorEastAsia" w:eastAsiaTheme="minorEastAsia" w:cstheme="minorEastAsia"/>
          <w:i w:val="0"/>
          <w:caps w:val="0"/>
          <w:color w:val="373737"/>
          <w:spacing w:val="0"/>
          <w:sz w:val="28"/>
          <w:szCs w:val="28"/>
          <w:shd w:val="clear" w:fill="FFFFFF"/>
          <w:vertAlign w:val="baseline"/>
        </w:rPr>
        <w:t>%，其中：因公出国（境）费支出决算为</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%；公务用车购置及运行费支出决算为</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0 </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%；公务接待费支出决算为</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0 </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年度“三公”经费支出决算数与预算数持平。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年增</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0.2</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部门严格执行三公经费缩减，车改后车辆上交</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；公务接待费支出决算0万元，增长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0 </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年度“三公”经费财政拨款支出决算中，因公出国（境）费支出决算</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0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0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公务用车保有量0</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万元。其中：国内公务接待</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万元，国内公务接待批次</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万元，国（境）外公务接待批次</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p>
      <w:pPr>
        <w:pStyle w:val="3"/>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3"/>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3"/>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年度机关运行经费支出</w:t>
      </w:r>
      <w:r>
        <w:rPr>
          <w:rFonts w:hint="eastAsia" w:asciiTheme="minorEastAsia" w:hAnsiTheme="minorEastAsia" w:cstheme="minorEastAsia"/>
          <w:color w:val="333333"/>
          <w:sz w:val="28"/>
          <w:szCs w:val="28"/>
          <w:lang w:val="en-US" w:eastAsia="zh-CN"/>
        </w:rPr>
        <w:t>120.53</w:t>
      </w:r>
      <w:r>
        <w:rPr>
          <w:rFonts w:hint="eastAsia" w:asciiTheme="minorEastAsia" w:hAnsiTheme="minorEastAsia" w:eastAsiaTheme="minorEastAsia" w:cstheme="minorEastAsia"/>
          <w:color w:val="333333"/>
          <w:sz w:val="28"/>
          <w:szCs w:val="28"/>
        </w:rPr>
        <w:t>万元（与部门决算中行政单位和参照公务员法管理事业单位一般公共预算财政拨款基本支出中公用经费之和保持一致），比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年（减少）</w:t>
      </w:r>
      <w:r>
        <w:rPr>
          <w:rFonts w:hint="eastAsia" w:asciiTheme="minorEastAsia" w:hAnsiTheme="minorEastAsia" w:cstheme="minorEastAsia"/>
          <w:color w:val="333333"/>
          <w:sz w:val="28"/>
          <w:szCs w:val="28"/>
          <w:lang w:val="en-US" w:eastAsia="zh-CN"/>
        </w:rPr>
        <w:t>47.28</w:t>
      </w:r>
      <w:r>
        <w:rPr>
          <w:rFonts w:hint="eastAsia" w:asciiTheme="minorEastAsia" w:hAnsiTheme="minorEastAsia" w:eastAsiaTheme="minorEastAsia" w:cstheme="minorEastAsia"/>
          <w:color w:val="333333"/>
          <w:sz w:val="28"/>
          <w:szCs w:val="28"/>
        </w:rPr>
        <w:t>万元，（降低）</w:t>
      </w:r>
      <w:r>
        <w:rPr>
          <w:rFonts w:hint="eastAsia" w:asciiTheme="minorEastAsia" w:hAnsiTheme="minorEastAsia" w:cstheme="minorEastAsia"/>
          <w:color w:val="333333"/>
          <w:sz w:val="28"/>
          <w:szCs w:val="28"/>
          <w:lang w:val="en-US" w:eastAsia="zh-CN"/>
        </w:rPr>
        <w:t xml:space="preserve">28 </w:t>
      </w:r>
      <w:r>
        <w:rPr>
          <w:rFonts w:hint="eastAsia" w:asciiTheme="minorEastAsia" w:hAnsiTheme="minorEastAsia" w:eastAsiaTheme="minorEastAsia" w:cstheme="minorEastAsia"/>
          <w:color w:val="333333"/>
          <w:sz w:val="28"/>
          <w:szCs w:val="28"/>
        </w:rPr>
        <w:t>%。主要原因是：</w:t>
      </w:r>
      <w:r>
        <w:rPr>
          <w:rFonts w:hint="eastAsia" w:asciiTheme="minorEastAsia" w:hAnsiTheme="minorEastAsia" w:cstheme="minorEastAsia"/>
          <w:color w:val="333333"/>
          <w:sz w:val="28"/>
          <w:szCs w:val="28"/>
          <w:lang w:eastAsia="zh-CN"/>
        </w:rPr>
        <w:t>本年退休及调出人员较多，工作中实行厉行节约的原则。</w:t>
      </w:r>
    </w:p>
    <w:p>
      <w:pPr>
        <w:pStyle w:val="3"/>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3"/>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7</w:t>
      </w:r>
      <w:r>
        <w:rPr>
          <w:rFonts w:hint="eastAsia" w:asciiTheme="minorEastAsia" w:hAnsiTheme="minorEastAsia" w:eastAsiaTheme="minorEastAsia" w:cstheme="minorEastAsia"/>
          <w:color w:val="333333"/>
          <w:sz w:val="28"/>
          <w:szCs w:val="28"/>
        </w:rPr>
        <w:t>年度政府采购支出总额</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万元，其中：政府采购货物支出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万元、政府采购工程支出</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万元、政府采购服务支出</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w:t>
      </w:r>
    </w:p>
    <w:p>
      <w:pPr>
        <w:pStyle w:val="3"/>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3"/>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年12月31日，本部门共有车辆</w:t>
      </w:r>
      <w:r>
        <w:rPr>
          <w:rFonts w:hint="eastAsia" w:asciiTheme="minorEastAsia" w:hAnsiTheme="minorEastAsia" w:cstheme="minorEastAsia"/>
          <w:color w:val="333333"/>
          <w:sz w:val="28"/>
          <w:szCs w:val="28"/>
          <w:lang w:val="en-US" w:eastAsia="zh-CN"/>
        </w:rPr>
        <w:t>10</w:t>
      </w:r>
      <w:r>
        <w:rPr>
          <w:rFonts w:hint="eastAsia" w:asciiTheme="minorEastAsia" w:hAnsiTheme="minorEastAsia" w:eastAsiaTheme="minorEastAsia" w:cstheme="minorEastAsia"/>
          <w:color w:val="333333"/>
          <w:sz w:val="28"/>
          <w:szCs w:val="28"/>
        </w:rPr>
        <w:t>辆，其中，一般公务用车0 辆、一般执法执勤用</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辆、特种专业技术用车</w:t>
      </w:r>
      <w:r>
        <w:rPr>
          <w:rFonts w:hint="eastAsia" w:asciiTheme="minorEastAsia" w:hAnsiTheme="minorEastAsia" w:cstheme="minorEastAsia"/>
          <w:color w:val="333333"/>
          <w:sz w:val="28"/>
          <w:szCs w:val="28"/>
          <w:lang w:val="en-US" w:eastAsia="zh-CN"/>
        </w:rPr>
        <w:t>1</w:t>
      </w:r>
      <w:r>
        <w:rPr>
          <w:rFonts w:hint="eastAsia" w:asciiTheme="minorEastAsia" w:hAnsiTheme="minorEastAsia" w:eastAsiaTheme="minorEastAsia" w:cstheme="minorEastAsia"/>
          <w:color w:val="333333"/>
          <w:sz w:val="28"/>
          <w:szCs w:val="28"/>
        </w:rPr>
        <w:t>辆、其他用车</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辆，其他用车主要是办案用车；单位价值50万万元以上通用设备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台（套），单价100 万万元以上专用设备</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 xml:space="preserve"> 台（套）。</w:t>
      </w:r>
    </w:p>
    <w:p>
      <w:pPr>
        <w:pStyle w:val="3"/>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年度预算绩效情况说明</w:t>
      </w:r>
    </w:p>
    <w:p>
      <w:pPr>
        <w:pStyle w:val="3"/>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年度项目支出全面开展绩效自评。共涉及资金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566.59</w:t>
      </w:r>
      <w:r>
        <w:rPr>
          <w:rFonts w:hint="eastAsia" w:asciiTheme="minorEastAsia" w:hAnsiTheme="minorEastAsia" w:eastAsiaTheme="minorEastAsia" w:cstheme="minorEastAsia"/>
          <w:color w:val="333333"/>
          <w:sz w:val="28"/>
          <w:szCs w:val="28"/>
        </w:rPr>
        <w:t>万元，自评覆盖率达到100%。共组织对“</w:t>
      </w:r>
      <w:r>
        <w:rPr>
          <w:rFonts w:hint="eastAsia" w:asciiTheme="minorEastAsia" w:hAnsiTheme="minorEastAsia" w:cstheme="minorEastAsia"/>
          <w:color w:val="333333"/>
          <w:sz w:val="28"/>
          <w:szCs w:val="28"/>
          <w:lang w:eastAsia="zh-CN"/>
        </w:rPr>
        <w:t>食品和药品监督管理事物</w:t>
      </w:r>
      <w:r>
        <w:rPr>
          <w:rFonts w:hint="eastAsia" w:asciiTheme="minorEastAsia" w:hAnsiTheme="minorEastAsia" w:eastAsiaTheme="minorEastAsia" w:cstheme="minorEastAsia"/>
          <w:color w:val="333333"/>
          <w:sz w:val="28"/>
          <w:szCs w:val="28"/>
        </w:rPr>
        <w:t xml:space="preserve">”等 </w:t>
      </w:r>
      <w:r>
        <w:rPr>
          <w:rFonts w:hint="eastAsia" w:asciiTheme="minorEastAsia" w:hAnsiTheme="minorEastAsia" w:cstheme="minorEastAsia"/>
          <w:color w:val="333333"/>
          <w:sz w:val="28"/>
          <w:szCs w:val="28"/>
          <w:lang w:val="en-US" w:eastAsia="zh-CN"/>
        </w:rPr>
        <w:t>5</w:t>
      </w:r>
      <w:r>
        <w:rPr>
          <w:rFonts w:hint="eastAsia" w:asciiTheme="minorEastAsia" w:hAnsiTheme="minorEastAsia" w:eastAsiaTheme="minorEastAsia" w:cstheme="minorEastAsia"/>
          <w:color w:val="333333"/>
          <w:sz w:val="28"/>
          <w:szCs w:val="28"/>
        </w:rPr>
        <w:t xml:space="preserve"> 个项目进行了绩效评价，共涉及资金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566.59</w:t>
      </w:r>
      <w:r>
        <w:rPr>
          <w:rFonts w:hint="eastAsia" w:asciiTheme="minorEastAsia" w:hAnsiTheme="minorEastAsia" w:eastAsiaTheme="minorEastAsia" w:cstheme="minorEastAsia"/>
          <w:color w:val="333333"/>
          <w:sz w:val="28"/>
          <w:szCs w:val="28"/>
        </w:rPr>
        <w:t>万元。</w:t>
      </w:r>
    </w:p>
    <w:p>
      <w:pPr>
        <w:pStyle w:val="3"/>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3"/>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3"/>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3"/>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3"/>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3"/>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3"/>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3"/>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3"/>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3"/>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3"/>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3"/>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3"/>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3"/>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3"/>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1340F75"/>
    <w:rsid w:val="01CF7F1E"/>
    <w:rsid w:val="020B636A"/>
    <w:rsid w:val="0271084B"/>
    <w:rsid w:val="03FE7F0E"/>
    <w:rsid w:val="06FE76CA"/>
    <w:rsid w:val="0882364B"/>
    <w:rsid w:val="098217C0"/>
    <w:rsid w:val="0CA301B8"/>
    <w:rsid w:val="0E980DC7"/>
    <w:rsid w:val="0EA80D27"/>
    <w:rsid w:val="13BA0331"/>
    <w:rsid w:val="16E96821"/>
    <w:rsid w:val="175273FD"/>
    <w:rsid w:val="179B676B"/>
    <w:rsid w:val="1CFB22BC"/>
    <w:rsid w:val="233E5FBE"/>
    <w:rsid w:val="237917C9"/>
    <w:rsid w:val="238F5D62"/>
    <w:rsid w:val="2816238A"/>
    <w:rsid w:val="293877FE"/>
    <w:rsid w:val="2A054FEB"/>
    <w:rsid w:val="2AB328B5"/>
    <w:rsid w:val="2DE7389C"/>
    <w:rsid w:val="3199340A"/>
    <w:rsid w:val="342E4FE7"/>
    <w:rsid w:val="37EC255E"/>
    <w:rsid w:val="3A0264B8"/>
    <w:rsid w:val="3D1368DA"/>
    <w:rsid w:val="3DDC6AB6"/>
    <w:rsid w:val="4006210E"/>
    <w:rsid w:val="403B2271"/>
    <w:rsid w:val="41387CBC"/>
    <w:rsid w:val="41777A77"/>
    <w:rsid w:val="419008B3"/>
    <w:rsid w:val="42194A56"/>
    <w:rsid w:val="47B93AEF"/>
    <w:rsid w:val="494116D3"/>
    <w:rsid w:val="4DA156A5"/>
    <w:rsid w:val="51132793"/>
    <w:rsid w:val="54A77580"/>
    <w:rsid w:val="56EB6602"/>
    <w:rsid w:val="57636FBD"/>
    <w:rsid w:val="5AD92995"/>
    <w:rsid w:val="5E437A75"/>
    <w:rsid w:val="61CA154B"/>
    <w:rsid w:val="62763A6A"/>
    <w:rsid w:val="63A47E98"/>
    <w:rsid w:val="65CF744F"/>
    <w:rsid w:val="65FF32A1"/>
    <w:rsid w:val="69A773ED"/>
    <w:rsid w:val="6B2E04F2"/>
    <w:rsid w:val="6B6E45D7"/>
    <w:rsid w:val="6BC52739"/>
    <w:rsid w:val="71821762"/>
    <w:rsid w:val="71B50885"/>
    <w:rsid w:val="763C3B43"/>
    <w:rsid w:val="768870B2"/>
    <w:rsid w:val="77DA5E15"/>
    <w:rsid w:val="7BC22F3A"/>
    <w:rsid w:val="7C8E24F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link w:val="18"/>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FollowedHyperlink"/>
    <w:basedOn w:val="5"/>
    <w:qFormat/>
    <w:uiPriority w:val="0"/>
    <w:rPr>
      <w:color w:val="333333"/>
      <w:sz w:val="18"/>
      <w:szCs w:val="18"/>
      <w:u w:val="none"/>
    </w:rPr>
  </w:style>
  <w:style w:type="character" w:styleId="8">
    <w:name w:val="Emphasis"/>
    <w:basedOn w:val="5"/>
    <w:qFormat/>
    <w:uiPriority w:val="0"/>
    <w:rPr>
      <w:i/>
    </w:rPr>
  </w:style>
  <w:style w:type="character" w:styleId="9">
    <w:name w:val="Hyperlink"/>
    <w:basedOn w:val="5"/>
    <w:qFormat/>
    <w:uiPriority w:val="0"/>
    <w:rPr>
      <w:color w:val="333333"/>
      <w:sz w:val="18"/>
      <w:szCs w:val="18"/>
      <w:u w:val="none"/>
    </w:rPr>
  </w:style>
  <w:style w:type="character" w:customStyle="1" w:styleId="10">
    <w:name w:val="laiy"/>
    <w:basedOn w:val="5"/>
    <w:qFormat/>
    <w:uiPriority w:val="0"/>
  </w:style>
  <w:style w:type="character" w:customStyle="1" w:styleId="11">
    <w:name w:val="zuoz"/>
    <w:basedOn w:val="5"/>
    <w:qFormat/>
    <w:uiPriority w:val="0"/>
  </w:style>
  <w:style w:type="character" w:customStyle="1" w:styleId="12">
    <w:name w:val="update"/>
    <w:basedOn w:val="5"/>
    <w:qFormat/>
    <w:uiPriority w:val="0"/>
  </w:style>
  <w:style w:type="character" w:customStyle="1" w:styleId="13">
    <w:name w:val="hot1"/>
    <w:basedOn w:val="5"/>
    <w:qFormat/>
    <w:uiPriority w:val="0"/>
  </w:style>
  <w:style w:type="character" w:customStyle="1" w:styleId="14">
    <w:name w:val="td12"/>
    <w:basedOn w:val="5"/>
    <w:qFormat/>
    <w:uiPriority w:val="0"/>
    <w:rPr>
      <w:rFonts w:ascii="Arial" w:hAnsi="Arial" w:cs="Arial"/>
      <w:color w:val="FFFFFF"/>
      <w:sz w:val="16"/>
      <w:szCs w:val="16"/>
    </w:rPr>
  </w:style>
  <w:style w:type="character" w:customStyle="1" w:styleId="15">
    <w:name w:val="td22"/>
    <w:basedOn w:val="5"/>
    <w:qFormat/>
    <w:uiPriority w:val="0"/>
  </w:style>
  <w:style w:type="character" w:customStyle="1" w:styleId="16">
    <w:name w:val="td32"/>
    <w:basedOn w:val="5"/>
    <w:qFormat/>
    <w:uiPriority w:val="0"/>
  </w:style>
  <w:style w:type="character" w:customStyle="1" w:styleId="17">
    <w:name w:val="home"/>
    <w:basedOn w:val="5"/>
    <w:qFormat/>
    <w:uiPriority w:val="0"/>
  </w:style>
  <w:style w:type="character" w:customStyle="1" w:styleId="18">
    <w:name w:val="标题 3 Char"/>
    <w:link w:val="2"/>
    <w:qFormat/>
    <w:uiPriority w:val="0"/>
    <w:rPr>
      <w:b/>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Administrator</cp:lastModifiedBy>
  <dcterms:modified xsi:type="dcterms:W3CDTF">2019-09-19T08:11:53Z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